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C6C" w:rsidRDefault="00686C6C" w:rsidP="000163AB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BF878E4" wp14:editId="4642A043">
            <wp:simplePos x="0" y="0"/>
            <wp:positionH relativeFrom="column">
              <wp:posOffset>5614035</wp:posOffset>
            </wp:positionH>
            <wp:positionV relativeFrom="paragraph">
              <wp:posOffset>-690245</wp:posOffset>
            </wp:positionV>
            <wp:extent cx="800100" cy="67564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75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4FE76AA6" wp14:editId="7BF33300">
            <wp:simplePos x="0" y="0"/>
            <wp:positionH relativeFrom="column">
              <wp:posOffset>-323850</wp:posOffset>
            </wp:positionH>
            <wp:positionV relativeFrom="paragraph">
              <wp:posOffset>-680085</wp:posOffset>
            </wp:positionV>
            <wp:extent cx="1356995" cy="659130"/>
            <wp:effectExtent l="0" t="0" r="0" b="7620"/>
            <wp:wrapNone/>
            <wp:docPr id="1" name="Picture 1" descr="scic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2" descr="scic-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99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6C6C" w:rsidRDefault="000163AB" w:rsidP="00686C6C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0163A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 xml:space="preserve">THÔNG BÁO CHÀO BÁN CẠNH TRANH </w:t>
      </w:r>
    </w:p>
    <w:p w:rsidR="000163AB" w:rsidRPr="000163AB" w:rsidRDefault="000163AB" w:rsidP="00686C6C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0163A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 xml:space="preserve">CỔ PHẦN CỦA TỔNG CÔNG TY ĐẦU TƯ VÀ KINH DOANH VỐN NHÀ NƯỚC TẠI </w:t>
      </w:r>
      <w:r w:rsidR="00686C6C" w:rsidRPr="00686C6C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CÔNG TY CỔ PHẦN XUẤT NHẬP KHẨU THỦY SẢN AN GIANG</w:t>
      </w:r>
    </w:p>
    <w:p w:rsidR="000163AB" w:rsidRPr="000163AB" w:rsidRDefault="000163AB" w:rsidP="00686C6C">
      <w:pPr>
        <w:shd w:val="clear" w:color="auto" w:fill="FFFFFF" w:themeFill="background1"/>
        <w:spacing w:after="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686C6C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</w:rPr>
        <w:t xml:space="preserve">Căn cứ Quyết định số </w:t>
      </w:r>
      <w:r w:rsidR="00686C6C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</w:rPr>
        <w:t>394</w:t>
      </w:r>
      <w:r w:rsidRPr="00686C6C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</w:rPr>
        <w:t xml:space="preserve">/QĐ-ĐTKDV ngày </w:t>
      </w:r>
      <w:r w:rsidR="00686C6C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</w:rPr>
        <w:t>14</w:t>
      </w:r>
      <w:r w:rsidRPr="00686C6C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</w:rPr>
        <w:t xml:space="preserve">/09/2016 của Tổng Công ty Đầu tư và Kinh doanh vốn Nhà nước (SCIC) </w:t>
      </w:r>
      <w:r w:rsidR="00686C6C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</w:rPr>
        <w:t>về việc</w:t>
      </w:r>
      <w:r w:rsidRPr="00686C6C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</w:rPr>
        <w:t xml:space="preserve"> bán cổ phần của </w:t>
      </w:r>
      <w:r w:rsidR="00686C6C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</w:rPr>
        <w:t xml:space="preserve">SCIC </w:t>
      </w:r>
      <w:r w:rsidRPr="00686C6C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</w:rPr>
        <w:t xml:space="preserve">tại </w:t>
      </w:r>
      <w:r w:rsidR="00686C6C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</w:rPr>
        <w:t>Công ty cổ phần Xuất nhập khẩu Thủy sản An Giang</w:t>
      </w:r>
      <w:r w:rsidRPr="00686C6C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</w:rPr>
        <w:t>, SCIC thông báo chào bán cổ phần như sau:</w:t>
      </w:r>
    </w:p>
    <w:p w:rsidR="000163AB" w:rsidRPr="000163AB" w:rsidRDefault="000163AB" w:rsidP="00686C6C">
      <w:pPr>
        <w:numPr>
          <w:ilvl w:val="0"/>
          <w:numId w:val="1"/>
        </w:numPr>
        <w:shd w:val="clear" w:color="auto" w:fill="FFFFFF" w:themeFill="background1"/>
        <w:spacing w:after="0"/>
        <w:ind w:left="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686C6C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</w:rPr>
        <w:t xml:space="preserve">Thông tin về doanh nghiệp:  </w:t>
      </w:r>
      <w:r w:rsidR="00686C6C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</w:rPr>
        <w:t>CÔNG TY CỔ PHẦN XUẤT NHẬP KHẨU THỦY SẢN AN GIANG</w:t>
      </w:r>
      <w:r w:rsidRPr="00686C6C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</w:rPr>
        <w:t xml:space="preserve"> (</w:t>
      </w:r>
      <w:r w:rsidR="00686C6C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</w:rPr>
        <w:t>AGF</w:t>
      </w:r>
      <w:r w:rsidRPr="00686C6C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</w:rPr>
        <w:t>)</w:t>
      </w:r>
    </w:p>
    <w:p w:rsidR="000163AB" w:rsidRPr="000163AB" w:rsidRDefault="000163AB" w:rsidP="00686C6C">
      <w:pPr>
        <w:shd w:val="clear" w:color="auto" w:fill="FFFFFF" w:themeFill="background1"/>
        <w:spacing w:after="0"/>
        <w:ind w:left="1800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0163AB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Địa chỉ: </w:t>
      </w:r>
      <w:r w:rsidR="00686C6C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Số 1234 Trần Hưng Đạo</w:t>
      </w:r>
      <w:r w:rsidRPr="000163AB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,</w:t>
      </w:r>
      <w:r w:rsidR="00686C6C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 P. Bình Đức,</w:t>
      </w:r>
      <w:r w:rsidRPr="000163AB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 Tp.Long Xuyên, Tỉnh An Giang</w:t>
      </w:r>
    </w:p>
    <w:p w:rsidR="000163AB" w:rsidRPr="000163AB" w:rsidRDefault="000163AB" w:rsidP="00686C6C">
      <w:pPr>
        <w:shd w:val="clear" w:color="auto" w:fill="FFFFFF" w:themeFill="background1"/>
        <w:spacing w:after="0"/>
        <w:ind w:left="2250" w:hanging="321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0163AB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Điện thoại: (84-76) </w:t>
      </w:r>
      <w:r w:rsidR="00686C6C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3852393</w:t>
      </w:r>
      <w:r w:rsidRPr="000163AB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      Fax: (84-76) 3</w:t>
      </w:r>
      <w:r w:rsidR="00686C6C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852202</w:t>
      </w:r>
    </w:p>
    <w:p w:rsidR="000163AB" w:rsidRPr="000163AB" w:rsidRDefault="000163AB" w:rsidP="00686C6C">
      <w:pPr>
        <w:numPr>
          <w:ilvl w:val="0"/>
          <w:numId w:val="2"/>
        </w:numPr>
        <w:shd w:val="clear" w:color="auto" w:fill="FFFFFF" w:themeFill="background1"/>
        <w:spacing w:after="0"/>
        <w:ind w:left="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686C6C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</w:rPr>
        <w:t>Lĩnh vực kinh doanh chính</w:t>
      </w:r>
      <w:r w:rsidRPr="000163AB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:  </w:t>
      </w:r>
      <w:r w:rsidR="00686C6C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Nuôi trồng, sản xuất, chế biến và buôn bán các sản phẩm từ thủy sản</w:t>
      </w:r>
    </w:p>
    <w:p w:rsidR="000163AB" w:rsidRPr="000163AB" w:rsidRDefault="000163AB" w:rsidP="00686C6C">
      <w:pPr>
        <w:numPr>
          <w:ilvl w:val="0"/>
          <w:numId w:val="2"/>
        </w:numPr>
        <w:shd w:val="clear" w:color="auto" w:fill="FFFFFF" w:themeFill="background1"/>
        <w:spacing w:after="0"/>
        <w:ind w:left="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686C6C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</w:rPr>
        <w:t>Vốn điều lệ</w:t>
      </w:r>
      <w:r w:rsidRPr="00686C6C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</w:rPr>
        <w:t>:        </w:t>
      </w:r>
      <w:r w:rsidR="00686C6C" w:rsidRPr="00686C6C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</w:rPr>
        <w:t>281.097</w:t>
      </w:r>
      <w:r w:rsidR="00686C6C">
        <w:rPr>
          <w:rFonts w:ascii="Times New Roman" w:eastAsia="Times New Roman" w:hAnsi="Times New Roman" w:cs="Times New Roman"/>
          <w:sz w:val="18"/>
          <w:szCs w:val="18"/>
        </w:rPr>
        <w:t>.430.000 đồng</w:t>
      </w:r>
      <w:r w:rsidRPr="00686C6C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</w:rPr>
        <w:t>                </w:t>
      </w:r>
    </w:p>
    <w:p w:rsidR="000163AB" w:rsidRPr="000163AB" w:rsidRDefault="000163AB" w:rsidP="00686C6C">
      <w:pPr>
        <w:numPr>
          <w:ilvl w:val="2"/>
          <w:numId w:val="2"/>
        </w:numPr>
        <w:shd w:val="clear" w:color="auto" w:fill="FFFFFF" w:themeFill="background1"/>
        <w:spacing w:after="0"/>
        <w:ind w:left="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686C6C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</w:rPr>
        <w:t>Điều kiện tham gia:</w:t>
      </w:r>
      <w:r w:rsidRPr="000163AB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Theo quy định tại Quy chế</w:t>
      </w:r>
      <w:r w:rsidRPr="00686C6C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 </w:t>
      </w:r>
      <w:r w:rsidRPr="000163AB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chào bán cạnh tranh cổ phần của SCIC</w:t>
      </w:r>
      <w:r w:rsidRPr="00686C6C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 </w:t>
      </w:r>
      <w:r w:rsidRPr="000163AB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tại</w:t>
      </w:r>
      <w:r w:rsidR="00DF138E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 AGF </w:t>
      </w:r>
      <w:r w:rsidRPr="000163AB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do </w:t>
      </w:r>
      <w:r w:rsidR="00DF138E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Công ty CP Chứng khoán ngân hàng Nông nghiệp và Phát triển nông thôn Việt Nam ban hành</w:t>
      </w:r>
      <w:r w:rsidRPr="000163AB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.</w:t>
      </w:r>
    </w:p>
    <w:p w:rsidR="000163AB" w:rsidRPr="000163AB" w:rsidRDefault="000163AB" w:rsidP="00686C6C">
      <w:pPr>
        <w:numPr>
          <w:ilvl w:val="0"/>
          <w:numId w:val="2"/>
        </w:numPr>
        <w:shd w:val="clear" w:color="auto" w:fill="FFFFFF" w:themeFill="background1"/>
        <w:spacing w:after="0"/>
        <w:ind w:left="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686C6C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</w:rPr>
        <w:t xml:space="preserve">Tổ chức thực hiện:               CÔNG TY CỔ PHẦN CHỨNG KHOÁN </w:t>
      </w:r>
      <w:r w:rsidR="00DF138E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</w:rPr>
        <w:t>NGÂN HÀNG NÔNG NGHIỆP VÀ PHÁT TRIỂN NÔNG THÔN VIỆT NAM (AGRISECO)</w:t>
      </w:r>
    </w:p>
    <w:p w:rsidR="000163AB" w:rsidRPr="00DF138E" w:rsidRDefault="000163AB" w:rsidP="00686C6C">
      <w:pPr>
        <w:numPr>
          <w:ilvl w:val="0"/>
          <w:numId w:val="2"/>
        </w:numPr>
        <w:shd w:val="clear" w:color="auto" w:fill="FFFFFF" w:themeFill="background1"/>
        <w:spacing w:after="0"/>
        <w:ind w:left="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686C6C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</w:rPr>
        <w:t>Cổ phần chào bán:</w:t>
      </w:r>
    </w:p>
    <w:p w:rsidR="00DF138E" w:rsidRPr="000163AB" w:rsidRDefault="00DF138E" w:rsidP="00DF138E">
      <w:pPr>
        <w:shd w:val="clear" w:color="auto" w:fill="FFFFFF" w:themeFill="background1"/>
        <w:spacing w:after="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0" w:type="auto"/>
        <w:jc w:val="center"/>
        <w:tblInd w:w="-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1"/>
        <w:gridCol w:w="1985"/>
        <w:gridCol w:w="3685"/>
        <w:gridCol w:w="1965"/>
      </w:tblGrid>
      <w:tr w:rsidR="00DF138E" w:rsidRPr="00686C6C" w:rsidTr="00DF138E">
        <w:trPr>
          <w:trHeight w:val="291"/>
          <w:jc w:val="center"/>
        </w:trPr>
        <w:tc>
          <w:tcPr>
            <w:tcW w:w="28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138E" w:rsidRPr="000163AB" w:rsidRDefault="00DF138E" w:rsidP="00686C6C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Loại cổ phần chào bán: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138E" w:rsidRPr="000163AB" w:rsidRDefault="00DF138E" w:rsidP="00686C6C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3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Cổ phần phổ thông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138E" w:rsidRPr="000163AB" w:rsidRDefault="00DF138E" w:rsidP="00686C6C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3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Khối lượng đăng ký mua tối đa với nhà đầu tư trong nước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:</w:t>
            </w:r>
          </w:p>
        </w:tc>
        <w:tc>
          <w:tcPr>
            <w:tcW w:w="19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138E" w:rsidRDefault="00DF138E" w:rsidP="00686C6C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</w:p>
          <w:p w:rsidR="00DF138E" w:rsidRPr="000163AB" w:rsidRDefault="00DF138E" w:rsidP="00686C6C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2.316.892</w:t>
            </w:r>
            <w:r w:rsidRPr="000163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cổ phần</w:t>
            </w:r>
          </w:p>
        </w:tc>
      </w:tr>
      <w:tr w:rsidR="00DF138E" w:rsidRPr="00686C6C" w:rsidTr="00DF138E">
        <w:trPr>
          <w:trHeight w:val="291"/>
          <w:jc w:val="center"/>
        </w:trPr>
        <w:tc>
          <w:tcPr>
            <w:tcW w:w="28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138E" w:rsidRPr="000163AB" w:rsidRDefault="00DF138E" w:rsidP="00686C6C">
            <w:pPr>
              <w:shd w:val="clear" w:color="auto" w:fill="FFFFFF" w:themeFill="background1"/>
              <w:spacing w:after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Giá khởi điểm:</w:t>
            </w:r>
          </w:p>
          <w:p w:rsidR="00DF138E" w:rsidRDefault="00DF138E" w:rsidP="00686C6C">
            <w:pPr>
              <w:shd w:val="clear" w:color="auto" w:fill="FFFFFF" w:themeFill="background1"/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</w:p>
          <w:p w:rsidR="000163AB" w:rsidRPr="000163AB" w:rsidRDefault="00DF138E" w:rsidP="00686C6C">
            <w:pPr>
              <w:shd w:val="clear" w:color="auto" w:fill="FFFFFF" w:themeFill="background1"/>
              <w:spacing w:after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Bước giá: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138E" w:rsidRPr="000163AB" w:rsidRDefault="00DF138E" w:rsidP="00686C6C">
            <w:pPr>
              <w:shd w:val="clear" w:color="auto" w:fill="FFFFFF" w:themeFill="background1"/>
              <w:spacing w:after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28.100</w:t>
            </w:r>
            <w:r w:rsidRPr="000163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đồng/c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p</w:t>
            </w:r>
          </w:p>
          <w:p w:rsidR="00DF138E" w:rsidRDefault="00DF138E" w:rsidP="00686C6C">
            <w:pPr>
              <w:shd w:val="clear" w:color="auto" w:fill="FFFFFF" w:themeFill="background1"/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</w:p>
          <w:p w:rsidR="000163AB" w:rsidRPr="000163AB" w:rsidRDefault="00DF138E" w:rsidP="00686C6C">
            <w:pPr>
              <w:shd w:val="clear" w:color="auto" w:fill="FFFFFF" w:themeFill="background1"/>
              <w:spacing w:after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3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100 đồng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138E" w:rsidRPr="000163AB" w:rsidRDefault="00DF138E" w:rsidP="00686C6C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3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Tổng số cổ phần nhà đầu tư nước ngoài được phép mua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:</w:t>
            </w:r>
          </w:p>
        </w:tc>
        <w:tc>
          <w:tcPr>
            <w:tcW w:w="19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138E" w:rsidRPr="000163AB" w:rsidRDefault="00DF138E" w:rsidP="00686C6C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3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Theo quy định hiện hành của Pháp Luật Việt Nam</w:t>
            </w:r>
          </w:p>
        </w:tc>
      </w:tr>
      <w:tr w:rsidR="00DF138E" w:rsidRPr="00686C6C" w:rsidTr="00DF138E">
        <w:trPr>
          <w:trHeight w:val="291"/>
          <w:jc w:val="center"/>
        </w:trPr>
        <w:tc>
          <w:tcPr>
            <w:tcW w:w="28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138E" w:rsidRPr="000163AB" w:rsidRDefault="00DF138E" w:rsidP="00686C6C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3A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138E" w:rsidRPr="000163AB" w:rsidRDefault="00DF138E" w:rsidP="00686C6C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3A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138E" w:rsidRPr="000163AB" w:rsidRDefault="00DF138E" w:rsidP="00686C6C">
            <w:pPr>
              <w:shd w:val="clear" w:color="auto" w:fill="FFFFFF" w:themeFill="background1"/>
              <w:spacing w:after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3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Khối lượng đăng ký mua tối thiểu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:</w:t>
            </w:r>
          </w:p>
          <w:p w:rsidR="000163AB" w:rsidRPr="000163AB" w:rsidRDefault="00DF138E" w:rsidP="00686C6C">
            <w:pPr>
              <w:shd w:val="clear" w:color="auto" w:fill="FFFFFF" w:themeFill="background1"/>
              <w:spacing w:after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3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Bước khối lượng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:</w:t>
            </w:r>
          </w:p>
        </w:tc>
        <w:tc>
          <w:tcPr>
            <w:tcW w:w="19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138E" w:rsidRPr="000163AB" w:rsidRDefault="00DF138E" w:rsidP="00686C6C">
            <w:pPr>
              <w:shd w:val="clear" w:color="auto" w:fill="FFFFFF" w:themeFill="background1"/>
              <w:spacing w:after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3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20.000 cổ phần</w:t>
            </w:r>
          </w:p>
          <w:p w:rsidR="000163AB" w:rsidRPr="000163AB" w:rsidRDefault="00DF138E" w:rsidP="00686C6C">
            <w:pPr>
              <w:shd w:val="clear" w:color="auto" w:fill="FFFFFF" w:themeFill="background1"/>
              <w:spacing w:after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100</w:t>
            </w:r>
            <w:r w:rsidRPr="000163A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cổ phần</w:t>
            </w:r>
          </w:p>
        </w:tc>
      </w:tr>
    </w:tbl>
    <w:p w:rsidR="000163AB" w:rsidRPr="000163AB" w:rsidRDefault="00DF138E" w:rsidP="00686C6C">
      <w:pPr>
        <w:numPr>
          <w:ilvl w:val="0"/>
          <w:numId w:val="3"/>
        </w:numPr>
        <w:shd w:val="clear" w:color="auto" w:fill="FFFFFF" w:themeFill="background1"/>
        <w:spacing w:after="0"/>
        <w:ind w:left="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</w:rPr>
        <w:t>Phương thức lựa chọn nhà đầu tư</w:t>
      </w:r>
      <w:r w:rsidR="000163AB" w:rsidRPr="00686C6C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</w:rPr>
        <w:t>:                  </w:t>
      </w:r>
      <w:r w:rsidR="000163AB" w:rsidRPr="000163AB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Chào bán cạnh tranh công khai</w:t>
      </w:r>
    </w:p>
    <w:p w:rsidR="000163AB" w:rsidRPr="000163AB" w:rsidRDefault="000163AB" w:rsidP="00686C6C">
      <w:pPr>
        <w:numPr>
          <w:ilvl w:val="0"/>
          <w:numId w:val="3"/>
        </w:numPr>
        <w:shd w:val="clear" w:color="auto" w:fill="FFFFFF" w:themeFill="background1"/>
        <w:spacing w:after="0"/>
        <w:ind w:left="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686C6C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</w:rPr>
        <w:t>Thời gian đăng ký tham gia chào bán cạnh tranh: </w:t>
      </w:r>
      <w:r w:rsidRPr="000163AB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Từ 08h30 ngày </w:t>
      </w:r>
      <w:r w:rsidR="00DF138E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19/09/2016</w:t>
      </w:r>
      <w:r w:rsidRPr="000163AB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 đến </w:t>
      </w:r>
      <w:r w:rsidR="00DF138E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09h00</w:t>
      </w:r>
      <w:r w:rsidRPr="000163AB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 ngày </w:t>
      </w:r>
      <w:r w:rsidR="00DF138E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10/10/2016</w:t>
      </w:r>
      <w:r w:rsidRPr="000163AB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.</w:t>
      </w:r>
    </w:p>
    <w:p w:rsidR="000163AB" w:rsidRPr="000163AB" w:rsidRDefault="000163AB" w:rsidP="00686C6C">
      <w:pPr>
        <w:numPr>
          <w:ilvl w:val="0"/>
          <w:numId w:val="3"/>
        </w:numPr>
        <w:shd w:val="clear" w:color="auto" w:fill="FFFFFF" w:themeFill="background1"/>
        <w:spacing w:after="0"/>
        <w:ind w:left="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686C6C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</w:rPr>
        <w:t>Địa điểmvà thủ tục đăng ký tham gia chào bán cạnh tranh</w:t>
      </w:r>
      <w:r w:rsidRPr="00686C6C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 </w:t>
      </w:r>
      <w:r w:rsidRPr="000163AB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Theo Quy chế chào bán cạnh tranh cổ phần của SCIC tại </w:t>
      </w:r>
      <w:r w:rsidR="00DF138E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AGF</w:t>
      </w:r>
      <w:r w:rsidRPr="000163AB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 do </w:t>
      </w:r>
      <w:r w:rsidR="00DF138E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Agriseco</w:t>
      </w:r>
      <w:r w:rsidRPr="000163AB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 ban hành.</w:t>
      </w:r>
    </w:p>
    <w:p w:rsidR="000163AB" w:rsidRPr="000163AB" w:rsidRDefault="000163AB" w:rsidP="00686C6C">
      <w:pPr>
        <w:numPr>
          <w:ilvl w:val="0"/>
          <w:numId w:val="3"/>
        </w:numPr>
        <w:shd w:val="clear" w:color="auto" w:fill="FFFFFF" w:themeFill="background1"/>
        <w:spacing w:after="0"/>
        <w:ind w:left="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686C6C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</w:rPr>
        <w:t>Thời gian nhận phiếu đăng ký mua:</w:t>
      </w:r>
    </w:p>
    <w:p w:rsidR="000163AB" w:rsidRPr="000163AB" w:rsidRDefault="000163AB" w:rsidP="00686C6C">
      <w:pPr>
        <w:shd w:val="clear" w:color="auto" w:fill="FFFFFF" w:themeFill="background1"/>
        <w:spacing w:after="0"/>
        <w:ind w:left="900" w:hanging="360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0163AB">
        <w:rPr>
          <w:rFonts w:ascii="Times New Roman" w:eastAsia="Times New Roman" w:hAnsi="Times New Roman" w:cs="Times New Roman"/>
          <w:sz w:val="16"/>
          <w:szCs w:val="16"/>
          <w:bdr w:val="none" w:sz="0" w:space="0" w:color="auto" w:frame="1"/>
        </w:rPr>
        <w:t>-</w:t>
      </w:r>
      <w:r w:rsidRPr="000163AB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</w:t>
      </w:r>
      <w:r w:rsidRPr="00686C6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</w:t>
      </w:r>
      <w:r w:rsidRPr="000163AB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Nộp trực tiếp tại tổ chức thực hiện chào bán từ 8h30 ngày </w:t>
      </w:r>
      <w:r w:rsidR="00DF138E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19/09/2016</w:t>
      </w:r>
      <w:r w:rsidRPr="000163AB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 đến trước </w:t>
      </w:r>
      <w:r w:rsidR="00DF138E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0</w:t>
      </w:r>
      <w:r w:rsidRPr="000163AB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9h</w:t>
      </w:r>
      <w:r w:rsidR="00DF138E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00</w:t>
      </w:r>
      <w:r w:rsidRPr="000163AB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 ngày </w:t>
      </w:r>
      <w:r w:rsidR="00DF138E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11/10/2016</w:t>
      </w:r>
      <w:r w:rsidRPr="000163AB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.</w:t>
      </w:r>
    </w:p>
    <w:p w:rsidR="000163AB" w:rsidRPr="000163AB" w:rsidRDefault="000163AB" w:rsidP="00686C6C">
      <w:pPr>
        <w:shd w:val="clear" w:color="auto" w:fill="FFFFFF" w:themeFill="background1"/>
        <w:spacing w:after="0"/>
        <w:ind w:left="900" w:hanging="360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0163AB">
        <w:rPr>
          <w:rFonts w:ascii="Times New Roman" w:eastAsia="Times New Roman" w:hAnsi="Times New Roman" w:cs="Times New Roman"/>
          <w:sz w:val="16"/>
          <w:szCs w:val="16"/>
          <w:bdr w:val="none" w:sz="0" w:space="0" w:color="auto" w:frame="1"/>
        </w:rPr>
        <w:t>-</w:t>
      </w:r>
      <w:r w:rsidRPr="000163AB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</w:t>
      </w:r>
      <w:r w:rsidRPr="00686C6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</w:t>
      </w:r>
      <w:r w:rsidRPr="000163AB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Nộp bằng thư đảm bảo qua đường bưu điện Từ 08h30 ngày </w:t>
      </w:r>
      <w:r w:rsidR="00DF138E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19/09/2016</w:t>
      </w:r>
      <w:r w:rsidRPr="000163AB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 đến trước </w:t>
      </w:r>
      <w:r w:rsidR="00DF138E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09h00</w:t>
      </w:r>
      <w:r w:rsidRPr="000163AB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 ngày </w:t>
      </w:r>
      <w:r w:rsidR="006602A0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10/10/2016</w:t>
      </w:r>
      <w:r w:rsidRPr="000163AB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.</w:t>
      </w:r>
    </w:p>
    <w:p w:rsidR="000163AB" w:rsidRPr="000163AB" w:rsidRDefault="000163AB" w:rsidP="00686C6C">
      <w:pPr>
        <w:shd w:val="clear" w:color="auto" w:fill="FFFFFF" w:themeFill="background1"/>
        <w:spacing w:after="0"/>
        <w:ind w:left="900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0163AB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(Tham khảo trong Quy chế chào bán cạnh tranh cổ phần của SCIC tại </w:t>
      </w:r>
      <w:r w:rsidR="006602A0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AGF</w:t>
      </w:r>
      <w:r w:rsidRPr="000163AB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)</w:t>
      </w:r>
    </w:p>
    <w:p w:rsidR="000163AB" w:rsidRPr="000163AB" w:rsidRDefault="000163AB" w:rsidP="00686C6C">
      <w:pPr>
        <w:numPr>
          <w:ilvl w:val="0"/>
          <w:numId w:val="4"/>
        </w:numPr>
        <w:shd w:val="clear" w:color="auto" w:fill="FFFFFF" w:themeFill="background1"/>
        <w:spacing w:after="0"/>
        <w:ind w:left="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686C6C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</w:rPr>
        <w:t>Thời gian, địa điểm tổ chức buổi chào bán cạnh tranh:</w:t>
      </w:r>
    </w:p>
    <w:p w:rsidR="000163AB" w:rsidRPr="000163AB" w:rsidRDefault="000163AB" w:rsidP="00686C6C">
      <w:pPr>
        <w:shd w:val="clear" w:color="auto" w:fill="FFFFFF" w:themeFill="background1"/>
        <w:spacing w:after="0"/>
        <w:ind w:left="450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0163AB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Thời gian tổ chức chào bán cạnh tranh: 09h30 sáng  ngày </w:t>
      </w:r>
      <w:r w:rsidR="006602A0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11/10/2016</w:t>
      </w:r>
    </w:p>
    <w:p w:rsidR="000163AB" w:rsidRPr="000163AB" w:rsidRDefault="000163AB" w:rsidP="00686C6C">
      <w:pPr>
        <w:shd w:val="clear" w:color="auto" w:fill="FFFFFF" w:themeFill="background1"/>
        <w:spacing w:after="0"/>
        <w:ind w:left="450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0163AB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Địa điểm: </w:t>
      </w:r>
      <w:r w:rsidR="006602A0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C</w:t>
      </w:r>
      <w:bookmarkStart w:id="0" w:name="_GoBack"/>
      <w:bookmarkEnd w:id="0"/>
      <w:r w:rsidR="006602A0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ông ty cổ phần chứng khoán Ngân hàng Nông nghiệp và Phát triển nông thôn Việt Nam</w:t>
      </w:r>
      <w:r w:rsidR="007D65B3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 – Chi nhánh TP Hồ Chí Minh</w:t>
      </w:r>
    </w:p>
    <w:p w:rsidR="000163AB" w:rsidRPr="000163AB" w:rsidRDefault="000163AB" w:rsidP="00686C6C">
      <w:pPr>
        <w:shd w:val="clear" w:color="auto" w:fill="FFFFFF" w:themeFill="background1"/>
        <w:spacing w:after="0"/>
        <w:ind w:left="450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0163AB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                 </w:t>
      </w:r>
      <w:r w:rsidR="006602A0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Lầu 2, Số 2A Phó Đức Chính, Quận 1, Tp Hồ Chí Minh</w:t>
      </w:r>
    </w:p>
    <w:p w:rsidR="000163AB" w:rsidRPr="000163AB" w:rsidRDefault="000163AB" w:rsidP="00686C6C">
      <w:pPr>
        <w:numPr>
          <w:ilvl w:val="0"/>
          <w:numId w:val="5"/>
        </w:numPr>
        <w:shd w:val="clear" w:color="auto" w:fill="FFFFFF" w:themeFill="background1"/>
        <w:spacing w:after="0"/>
        <w:ind w:left="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686C6C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</w:rPr>
        <w:t>Thời gian nộp tiền mua cổ phần và hoàn trả tiền cọc: </w:t>
      </w:r>
      <w:r w:rsidRPr="000163AB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theo Quy chế Chào bán cạnh tranh cổ phần của SCIC tại </w:t>
      </w:r>
      <w:r w:rsidR="006602A0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AGF</w:t>
      </w:r>
    </w:p>
    <w:p w:rsidR="0008387A" w:rsidRPr="00686C6C" w:rsidRDefault="000163AB" w:rsidP="000163AB">
      <w:pPr>
        <w:shd w:val="clear" w:color="auto" w:fill="FFFFFF" w:themeFill="background1"/>
        <w:rPr>
          <w:rFonts w:ascii="Times New Roman" w:hAnsi="Times New Roman" w:cs="Times New Roman"/>
        </w:rPr>
      </w:pPr>
      <w:r w:rsidRPr="00686C6C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F9F9F9"/>
        </w:rPr>
        <w:t xml:space="preserve">(Nhà đầu tư tham gia mua cổ phần có thể nhận: Bản công bố thông tin, Quy chế chào bán cạnh tranh cổ phần của SCIC tại </w:t>
      </w:r>
      <w:r w:rsidR="006602A0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F9F9F9"/>
        </w:rPr>
        <w:t>AGF</w:t>
      </w:r>
      <w:r w:rsidRPr="00686C6C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F9F9F9"/>
        </w:rPr>
        <w:t xml:space="preserve"> trên website:www.scic.vn, www.</w:t>
      </w:r>
      <w:r w:rsidR="006602A0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F9F9F9"/>
        </w:rPr>
        <w:t>agriseco</w:t>
      </w:r>
      <w:r w:rsidRPr="00686C6C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F9F9F9"/>
        </w:rPr>
        <w:t>.com.vn)</w:t>
      </w:r>
      <w:r w:rsidRPr="00686C6C">
        <w:rPr>
          <w:rFonts w:ascii="Times New Roman" w:eastAsia="Times New Roman" w:hAnsi="Times New Roman" w:cs="Times New Roman"/>
          <w:sz w:val="18"/>
          <w:szCs w:val="18"/>
          <w:shd w:val="clear" w:color="auto" w:fill="F9F9F9"/>
        </w:rPr>
        <w:t> </w:t>
      </w:r>
    </w:p>
    <w:sectPr w:rsidR="0008387A" w:rsidRPr="00686C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F2394"/>
    <w:multiLevelType w:val="multilevel"/>
    <w:tmpl w:val="450AF1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112323"/>
    <w:multiLevelType w:val="multilevel"/>
    <w:tmpl w:val="6DF833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E14BB8"/>
    <w:multiLevelType w:val="multilevel"/>
    <w:tmpl w:val="36583D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334204"/>
    <w:multiLevelType w:val="multilevel"/>
    <w:tmpl w:val="C5362F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68A559C"/>
    <w:multiLevelType w:val="multilevel"/>
    <w:tmpl w:val="ED80F9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3AB"/>
    <w:rsid w:val="000163AB"/>
    <w:rsid w:val="00192D09"/>
    <w:rsid w:val="006602A0"/>
    <w:rsid w:val="00686C6C"/>
    <w:rsid w:val="00783C96"/>
    <w:rsid w:val="007D65B3"/>
    <w:rsid w:val="00AB4ADE"/>
    <w:rsid w:val="00DF1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LightShading-Accent5"/>
    <w:rsid w:val="00192D09"/>
    <w:rPr>
      <w:rFonts w:ascii="Arial" w:eastAsia="Times New Roman" w:hAnsi="Arial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5">
    <w:name w:val="Light Shading Accent 5"/>
    <w:basedOn w:val="TableNormal"/>
    <w:uiPriority w:val="60"/>
    <w:rsid w:val="00192D0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ormalWeb">
    <w:name w:val="Normal (Web)"/>
    <w:basedOn w:val="Normal"/>
    <w:uiPriority w:val="99"/>
    <w:unhideWhenUsed/>
    <w:rsid w:val="000163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163AB"/>
    <w:rPr>
      <w:i/>
      <w:iCs/>
    </w:rPr>
  </w:style>
  <w:style w:type="character" w:styleId="Strong">
    <w:name w:val="Strong"/>
    <w:basedOn w:val="DefaultParagraphFont"/>
    <w:uiPriority w:val="22"/>
    <w:qFormat/>
    <w:rsid w:val="000163AB"/>
    <w:rPr>
      <w:b/>
      <w:bCs/>
    </w:rPr>
  </w:style>
  <w:style w:type="character" w:customStyle="1" w:styleId="apple-converted-space">
    <w:name w:val="apple-converted-space"/>
    <w:basedOn w:val="DefaultParagraphFont"/>
    <w:rsid w:val="000163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LightShading-Accent5"/>
    <w:rsid w:val="00192D09"/>
    <w:rPr>
      <w:rFonts w:ascii="Arial" w:eastAsia="Times New Roman" w:hAnsi="Arial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5">
    <w:name w:val="Light Shading Accent 5"/>
    <w:basedOn w:val="TableNormal"/>
    <w:uiPriority w:val="60"/>
    <w:rsid w:val="00192D0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ormalWeb">
    <w:name w:val="Normal (Web)"/>
    <w:basedOn w:val="Normal"/>
    <w:uiPriority w:val="99"/>
    <w:unhideWhenUsed/>
    <w:rsid w:val="000163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163AB"/>
    <w:rPr>
      <w:i/>
      <w:iCs/>
    </w:rPr>
  </w:style>
  <w:style w:type="character" w:styleId="Strong">
    <w:name w:val="Strong"/>
    <w:basedOn w:val="DefaultParagraphFont"/>
    <w:uiPriority w:val="22"/>
    <w:qFormat/>
    <w:rsid w:val="000163AB"/>
    <w:rPr>
      <w:b/>
      <w:bCs/>
    </w:rPr>
  </w:style>
  <w:style w:type="character" w:customStyle="1" w:styleId="apple-converted-space">
    <w:name w:val="apple-converted-space"/>
    <w:basedOn w:val="DefaultParagraphFont"/>
    <w:rsid w:val="00016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0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Cao Thi Thu Hang</dc:creator>
  <cp:lastModifiedBy>Cao Thi Thu Hang</cp:lastModifiedBy>
  <cp:revision>2</cp:revision>
  <dcterms:created xsi:type="dcterms:W3CDTF">2016-09-15T04:03:00Z</dcterms:created>
  <dcterms:modified xsi:type="dcterms:W3CDTF">2016-09-15T07:08:00Z</dcterms:modified>
</cp:coreProperties>
</file>