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1A" w:rsidRDefault="00FA2FC3">
      <w:r>
        <w:rPr>
          <w:noProof/>
        </w:rPr>
        <w:pict>
          <v:rect id="Rectangle 2" o:spid="_x0000_s1026" style="position:absolute;margin-left:-25.65pt;margin-top:-40.55pt;width:507pt;height:771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" strokeweight="1.5pt">
            <v:textbox>
              <w:txbxContent>
                <w:tbl>
                  <w:tblPr>
                    <w:tblStyle w:val="TableGrid"/>
                    <w:tblW w:w="9630" w:type="dxa"/>
                    <w:tblInd w:w="198" w:type="dxa"/>
                    <w:tblBorders>
                      <w:top w:val="none" w:sz="0" w:space="0" w:color="auto"/>
                      <w:left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3396"/>
                    <w:gridCol w:w="2814"/>
                    <w:gridCol w:w="3420"/>
                  </w:tblGrid>
                  <w:tr w:rsidR="00787A82" w:rsidRPr="005F2212" w:rsidTr="008E5B89">
                    <w:trPr>
                      <w:trHeight w:val="1076"/>
                    </w:trPr>
                    <w:tc>
                      <w:tcPr>
                        <w:tcW w:w="3396" w:type="dxa"/>
                        <w:vAlign w:val="center"/>
                      </w:tcPr>
                      <w:p w:rsidR="00787A82" w:rsidRPr="005F2212" w:rsidRDefault="0067325B" w:rsidP="00635C5D">
                        <w:pPr>
                          <w:jc w:val="center"/>
                        </w:pPr>
                        <w:r w:rsidRPr="005F2212">
                          <w:rPr>
                            <w:noProof/>
                          </w:rPr>
                          <w:drawing>
                            <wp:inline distT="0" distB="0" distL="0" distR="0">
                              <wp:extent cx="1361548" cy="305278"/>
                              <wp:effectExtent l="19050" t="0" r="0" b="0"/>
                              <wp:docPr id="13" name="Picture 12" descr="Logo VEIC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Logo VEIC.png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32096" cy="32109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87A82" w:rsidRPr="005F2212" w:rsidRDefault="00787A82" w:rsidP="00635C5D"/>
                    </w:tc>
                    <w:tc>
                      <w:tcPr>
                        <w:tcW w:w="2814" w:type="dxa"/>
                        <w:vAlign w:val="center"/>
                      </w:tcPr>
                      <w:p w:rsidR="00787A82" w:rsidRPr="005F2212" w:rsidRDefault="0067325B" w:rsidP="00635C5D">
                        <w:pPr>
                          <w:jc w:val="center"/>
                        </w:pPr>
                        <w:r w:rsidRPr="005F2212">
                          <w:rPr>
                            <w:noProof/>
                          </w:rPr>
                          <w:drawing>
                            <wp:inline distT="0" distB="0" distL="0" distR="0">
                              <wp:extent cx="1360967" cy="662231"/>
                              <wp:effectExtent l="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02" descr="scic-log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56995" cy="659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420" w:type="dxa"/>
                        <w:vAlign w:val="center"/>
                      </w:tcPr>
                      <w:p w:rsidR="00787A82" w:rsidRPr="005F2212" w:rsidRDefault="00787A82" w:rsidP="00635C5D">
                        <w:pPr>
                          <w:jc w:val="center"/>
                        </w:pPr>
                        <w:r w:rsidRPr="005F2212">
                          <w:rPr>
                            <w:noProof/>
                          </w:rPr>
                          <w:drawing>
                            <wp:inline distT="0" distB="0" distL="0" distR="0">
                              <wp:extent cx="1635846" cy="405442"/>
                              <wp:effectExtent l="19050" t="0" r="2454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New Image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51423" cy="40930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F2212">
                          <w:t xml:space="preserve">       </w:t>
                        </w:r>
                      </w:p>
                    </w:tc>
                  </w:tr>
                </w:tbl>
                <w:p w:rsidR="00787A82" w:rsidRPr="005F2212" w:rsidRDefault="00787A82" w:rsidP="00F43761">
                  <w:pPr>
                    <w:spacing w:before="40" w:after="40" w:line="288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787A82" w:rsidRPr="005F2212" w:rsidRDefault="00FE558D" w:rsidP="00F43761">
                  <w:pPr>
                    <w:spacing w:before="40" w:after="40" w:line="288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THÔNG BÁO BÁN ĐẤU GIÁ </w:t>
                  </w:r>
                  <w:r w:rsidR="00787A82"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CẢ </w:t>
                  </w:r>
                  <w:r w:rsidR="00774A8A"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LÔ </w:t>
                  </w:r>
                  <w:r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>CỔ PHẦN</w:t>
                  </w:r>
                  <w:r w:rsidR="00A017F9"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</w:p>
                <w:p w:rsidR="00787A82" w:rsidRPr="005F2212" w:rsidRDefault="00A017F9" w:rsidP="00F43761">
                  <w:pPr>
                    <w:spacing w:before="40" w:after="40" w:line="288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>CỦA TỔNG CÔNG TY ĐẦU TƯ VÀ KINH DOANH VỐN NHÀ NƯỚC</w:t>
                  </w:r>
                  <w:r w:rsidR="00787A82"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</w:p>
                <w:p w:rsidR="00FE558D" w:rsidRPr="005F2212" w:rsidRDefault="00774A8A" w:rsidP="00F43761">
                  <w:pPr>
                    <w:spacing w:before="40" w:after="40" w:line="288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TẠI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</w:rPr>
                    <w:t>TỔNG CÔNG TY CỔ PHẦN ĐIỆN TỬ VÀ TIN HỌC VIỆT NAM</w:t>
                  </w:r>
                </w:p>
                <w:p w:rsidR="00F43761" w:rsidRPr="005F2212" w:rsidRDefault="00F43761" w:rsidP="00F43761">
                  <w:pPr>
                    <w:spacing w:before="40" w:after="40" w:line="288" w:lineRule="auto"/>
                    <w:jc w:val="center"/>
                    <w:rPr>
                      <w:rFonts w:ascii="Times New Roman" w:hAnsi="Times New Roman" w:cs="Times New Roman"/>
                      <w:sz w:val="10"/>
                    </w:rPr>
                  </w:pPr>
                </w:p>
                <w:p w:rsidR="00FE558D" w:rsidRPr="005F2212" w:rsidRDefault="00FE558D" w:rsidP="007E644F">
                  <w:pPr>
                    <w:spacing w:before="20" w:after="20" w:line="288" w:lineRule="auto"/>
                    <w:ind w:left="180" w:right="-124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 w:rsidRPr="005F2212">
                    <w:rPr>
                      <w:rFonts w:ascii="Times New Roman" w:hAnsi="Times New Roman" w:cs="Times New Roman"/>
                      <w:i/>
                    </w:rPr>
                    <w:t xml:space="preserve">Căn </w:t>
                  </w:r>
                  <w:r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cứ Quyết định số </w:t>
                  </w:r>
                  <w:r w:rsidR="00382E29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85</w:t>
                  </w:r>
                  <w:r w:rsidR="00E505AA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</w:t>
                  </w:r>
                  <w:r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QĐ-ĐTKDV</w:t>
                  </w:r>
                  <w:r w:rsidR="00382E29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.HĐTV</w:t>
                  </w:r>
                  <w:r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ngày</w:t>
                  </w:r>
                  <w:r w:rsidR="00382E29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17</w:t>
                  </w:r>
                  <w:r w:rsidR="00B02B09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/11</w:t>
                  </w:r>
                  <w:r w:rsidR="00E505AA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/2016</w:t>
                  </w:r>
                  <w:r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của Tổng Công ty Đầu tư và Kinh doanh vốn Nhà nước (“SCIC”) về việc bán cổ phần của SCIC tại </w:t>
                  </w:r>
                  <w:r w:rsidR="00382E29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Tổng Công ty cổ phần Điện tử và Tin học Việt Nam</w:t>
                  </w:r>
                  <w:r w:rsidR="007E644F" w:rsidRPr="005F221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403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Tổ chức phát hành: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TỔNG CÔNG TY CỔ PHẦN ĐIỆN TỬ VÀ TIN HỌC VIỆT NAM</w:t>
                  </w:r>
                </w:p>
                <w:p w:rsidR="00FE558D" w:rsidRPr="005F2212" w:rsidRDefault="00FE558D" w:rsidP="00E41B9C">
                  <w:pPr>
                    <w:pStyle w:val="ListParagraph"/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Địa chỉ: 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Số 15 Trần Hưng Đạo, Quận Hoàn Kiếm, Hà Nội</w:t>
                  </w:r>
                </w:p>
                <w:p w:rsidR="00FE558D" w:rsidRPr="005F2212" w:rsidRDefault="00FE558D" w:rsidP="00E41B9C">
                  <w:pPr>
                    <w:pStyle w:val="ListParagraph"/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Điện thoại: </w:t>
                  </w:r>
                  <w:r w:rsidR="00050342" w:rsidRPr="005F2212">
                    <w:rPr>
                      <w:rFonts w:ascii="Times New Roman" w:hAnsi="Times New Roman" w:cs="Times New Roman"/>
                      <w:sz w:val="24"/>
                      <w:szCs w:val="24"/>
                      <w:lang w:val="vi-VN"/>
                    </w:rPr>
                    <w:t>(84</w:t>
                  </w:r>
                  <w:r w:rsidR="00050342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-4) </w:t>
                  </w:r>
                  <w:r w:rsidR="00A017F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3825 6404</w:t>
                  </w: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 xml:space="preserve">Fax: </w:t>
                  </w:r>
                  <w:r w:rsidR="00050342" w:rsidRPr="005F2212">
                    <w:rPr>
                      <w:rFonts w:ascii="Times New Roman" w:hAnsi="Times New Roman" w:cs="Times New Roman"/>
                      <w:noProof/>
                      <w:spacing w:val="-5"/>
                      <w:sz w:val="24"/>
                      <w:szCs w:val="24"/>
                      <w:lang w:val="nl-NL"/>
                    </w:rPr>
                    <w:t xml:space="preserve">(84-4) </w:t>
                  </w:r>
                  <w:r w:rsidR="00A017F9" w:rsidRPr="005F2212">
                    <w:rPr>
                      <w:rFonts w:ascii="Times New Roman" w:hAnsi="Times New Roman" w:cs="Times New Roman"/>
                      <w:noProof/>
                      <w:spacing w:val="-5"/>
                      <w:sz w:val="24"/>
                      <w:szCs w:val="24"/>
                      <w:lang w:val="nl-NL"/>
                    </w:rPr>
                    <w:t>3826 4786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Ngành nghề</w:t>
                  </w:r>
                  <w:r w:rsidR="00C86F40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kinh doanh: 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Mua bán: máy móc, thiết bị, linh kiện điện tử, điện lạnh, vi tính, thiết bị viễn thông – thiết bị truyền hình; Thiết kế, chế tạo, sản xuất: mạch điện tử, hàng điện tử dân dụng, thiết bị điện tử y tế, sửa chửa, bảo hành, bảo trì hàng kim khí điện máy, điện tử dân dụng, điện lạnh, vi tính; Các ngành nghề khác theo đăng ký kinh doanh</w:t>
                  </w:r>
                  <w:r w:rsidR="0060468D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Vốn điều lệ: 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438.000.000.000</w:t>
                  </w: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đồng</w:t>
                  </w: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5A78D6" w:rsidRPr="00E41B9C" w:rsidRDefault="005A78D6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Vốn của SCIC tại Tổng Công ty cổ phần Điện tử và Tin học Việt Nam: 385.297.500.000 đồng (theo mệnh giá), chiếm tỷ lệ 87,</w:t>
                  </w:r>
                  <w:r w:rsidR="007B2DDF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97</w:t>
                  </w: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vốn điều lệ</w:t>
                  </w:r>
                  <w:r w:rsidR="00C173CB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E558D" w:rsidRPr="00E41B9C" w:rsidRDefault="00FE558D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Điều kiện tham dự đấu giá: Tổ chức và cá nhân theo quy định tại </w:t>
                  </w:r>
                  <w:r w:rsidR="00260CDA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Q</w:t>
                  </w: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uy</w:t>
                  </w:r>
                  <w:r w:rsidR="005343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chế </w:t>
                  </w:r>
                  <w:r w:rsidR="00A3548B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bán </w:t>
                  </w: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đấu giá</w:t>
                  </w:r>
                  <w:r w:rsidR="00260CDA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do Sở GDCK Hà Nội ban hành.</w:t>
                  </w:r>
                </w:p>
                <w:p w:rsidR="00FE558D" w:rsidRPr="00E41B9C" w:rsidRDefault="00FE558D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Tổ chức tư vấn: Công ty cổ phần Chứng khoán </w:t>
                  </w:r>
                  <w:r w:rsidR="004A1ECE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Asean</w:t>
                  </w: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803E10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 Tầng 4, Số 18 Lý Thường Kiệt, phường Phan Chu Trinh, quận Hoàn Kiếm, Hà Nội.</w:t>
                  </w: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B7D69" w:rsidRPr="005F2212" w:rsidRDefault="009B7D69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Tổ chức </w:t>
                  </w: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thực hiện đấu giá: Sở Giao dịch chứng khoán Hà Nội (HNX)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Cổ phần chào bán thông qua đấu giá: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2"/>
                    </w:numPr>
                    <w:spacing w:before="20" w:after="20" w:line="288" w:lineRule="auto"/>
                    <w:ind w:left="396" w:hanging="315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Loại cổ phần chào bán: cổ phần phổ thông</w:t>
                  </w:r>
                  <w:r w:rsidR="00E627E4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tự do chuyển nhượng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2"/>
                    </w:numPr>
                    <w:spacing w:before="20" w:after="20" w:line="288" w:lineRule="auto"/>
                    <w:ind w:left="396" w:hanging="315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Số lượng cổ phần đấu giá: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38.529.750</w:t>
                  </w:r>
                  <w:r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cổ phần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2"/>
                    </w:numPr>
                    <w:spacing w:before="20" w:after="20" w:line="288" w:lineRule="auto"/>
                    <w:ind w:left="396" w:hanging="315"/>
                    <w:contextualSpacing w:val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Giá khởi điể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m: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15.1</w:t>
                  </w:r>
                  <w:r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00 đồng/ cổ phần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2"/>
                    </w:numPr>
                    <w:spacing w:before="20" w:after="20" w:line="288" w:lineRule="auto"/>
                    <w:ind w:left="396" w:hanging="315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Mệnh giá: 10.000 đồng/ cổ phần</w:t>
                  </w:r>
                </w:p>
                <w:p w:rsidR="00382E29" w:rsidRPr="005F2212" w:rsidRDefault="00382E29" w:rsidP="00E41B9C">
                  <w:pPr>
                    <w:pStyle w:val="ListParagraph"/>
                    <w:numPr>
                      <w:ilvl w:val="0"/>
                      <w:numId w:val="2"/>
                    </w:numPr>
                    <w:spacing w:before="20" w:after="20" w:line="288" w:lineRule="auto"/>
                    <w:ind w:left="396" w:hanging="315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Số mức giá đặt mua: 01 mức giá</w:t>
                  </w:r>
                </w:p>
                <w:p w:rsidR="00FE558D" w:rsidRPr="005F2212" w:rsidRDefault="00FE558D" w:rsidP="00E41B9C">
                  <w:pPr>
                    <w:pStyle w:val="ListParagraph"/>
                    <w:numPr>
                      <w:ilvl w:val="0"/>
                      <w:numId w:val="2"/>
                    </w:numPr>
                    <w:spacing w:before="20" w:after="20" w:line="288" w:lineRule="auto"/>
                    <w:ind w:left="396" w:hanging="315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Hình thức đấu giá: </w:t>
                  </w:r>
                  <w:r w:rsidR="004A1ECE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Đấu giá cả lô, theo đó mỗi nhà đầu tư phải đăng ký mua toàn bộ số cổ phần chào bán</w:t>
                  </w:r>
                  <w:r w:rsidR="00050342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38.529.750</w:t>
                  </w:r>
                  <w:r w:rsidR="00050342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cổ phần)</w:t>
                  </w:r>
                </w:p>
                <w:p w:rsidR="00FE558D" w:rsidRPr="005F2212" w:rsidRDefault="006C6CA7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Đăng ký tham gia đấu giá, nộp tiền đặt cọc: </w:t>
                  </w:r>
                  <w:r w:rsidR="00555B31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Trong giờ làm việc của c</w:t>
                  </w:r>
                  <w:r w:rsidR="00045423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ác ngày làm việc t</w:t>
                  </w:r>
                  <w:r w:rsidR="004A1ECE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ừ ngày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27/03/2017</w:t>
                  </w:r>
                  <w:r w:rsidR="004A1ECE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đến 15h30 ngày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18/04/2017</w:t>
                  </w:r>
                  <w:r w:rsidR="00E627E4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627E4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tại các Đại lý đấu giá</w:t>
                  </w:r>
                  <w:r w:rsidR="001552C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C6CA7" w:rsidRPr="005F2212" w:rsidRDefault="006C6CA7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Nộp phiếu tham dự đấu giá:</w:t>
                  </w:r>
                  <w:r w:rsidR="00C86F40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Chậm nhấ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 16h00 ngày 21/04</w:t>
                  </w:r>
                  <w:r w:rsidR="00C86F40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/2016</w:t>
                  </w:r>
                  <w:r w:rsidR="001552C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tại các Đại lý đấu giá</w:t>
                  </w:r>
                  <w:r w:rsidR="00E44854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C6CA7" w:rsidRPr="005F2212" w:rsidRDefault="006C6CA7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Tổ chức đấ</w:t>
                  </w:r>
                  <w:r w:rsidR="004A1ECE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 giá: </w:t>
                  </w:r>
                  <w:r w:rsidR="00BE507D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10h0</w:t>
                  </w:r>
                  <w:r w:rsidR="004A1ECE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0 ngày </w:t>
                  </w:r>
                  <w:r w:rsidR="00382E29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25/04/2017</w:t>
                  </w:r>
                  <w:r w:rsidR="00C86F40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tại</w:t>
                  </w:r>
                  <w:bookmarkStart w:id="0" w:name="_GoBack"/>
                  <w:bookmarkEnd w:id="0"/>
                  <w:r w:rsidR="00AF53D0" w:rsidRPr="005F22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HNX</w:t>
                  </w:r>
                </w:p>
                <w:p w:rsidR="006C6CA7" w:rsidRPr="00E41B9C" w:rsidRDefault="006C6CA7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Thời gian nộp tiền mua cổ phầ</w:t>
                  </w:r>
                  <w:r w:rsidR="00C86F40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n: Từ ngày 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26/04</w:t>
                  </w:r>
                  <w:r w:rsidR="004A1ECE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/2016 đế</w:t>
                  </w:r>
                  <w:r w:rsidR="00382E29" w:rsidRPr="005F22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  <w:r w:rsidR="00382E29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ngày 05/05</w:t>
                  </w:r>
                  <w:r w:rsidR="004A1ECE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/2017</w:t>
                  </w:r>
                </w:p>
                <w:p w:rsidR="006C6CA7" w:rsidRPr="00E41B9C" w:rsidRDefault="006C6CA7" w:rsidP="00E41B9C">
                  <w:pPr>
                    <w:pStyle w:val="ListParagraph"/>
                    <w:numPr>
                      <w:ilvl w:val="0"/>
                      <w:numId w:val="1"/>
                    </w:numPr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Thời gian hoàn trả tiền đặt cọ</w:t>
                  </w:r>
                  <w:r w:rsidR="00C86F40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c: Từ ngày </w:t>
                  </w:r>
                  <w:r w:rsidR="00382E29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27/04</w:t>
                  </w:r>
                  <w:r w:rsidR="004A1ECE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/2016 đế</w:t>
                  </w:r>
                  <w:r w:rsidR="00382E29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n ngày 04/05</w:t>
                  </w:r>
                  <w:r w:rsidR="004A1ECE" w:rsidRPr="00E41B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/2017</w:t>
                  </w:r>
                </w:p>
                <w:p w:rsidR="00E667F7" w:rsidRPr="009726A5" w:rsidRDefault="00E667F7" w:rsidP="00E41B9C">
                  <w:pPr>
                    <w:pStyle w:val="ListParagraph"/>
                    <w:spacing w:before="20" w:after="20" w:line="288" w:lineRule="auto"/>
                    <w:ind w:left="396"/>
                    <w:contextualSpacing w:val="0"/>
                    <w:jc w:val="both"/>
                    <w:rPr>
                      <w:rFonts w:ascii="Times New Roman" w:hAnsi="Times New Roman" w:cs="Times New Roman"/>
                      <w:sz w:val="14"/>
                      <w:szCs w:val="24"/>
                    </w:rPr>
                  </w:pPr>
                </w:p>
                <w:p w:rsidR="006C6CA7" w:rsidRPr="00E41B9C" w:rsidRDefault="006C6CA7" w:rsidP="00E41B9C">
                  <w:pPr>
                    <w:pStyle w:val="ListParagraph"/>
                    <w:spacing w:before="20" w:after="20" w:line="288" w:lineRule="auto"/>
                    <w:ind w:left="72"/>
                    <w:contextualSpacing w:val="0"/>
                    <w:jc w:val="center"/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  <w:r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(Nhà đầu tư </w:t>
                  </w:r>
                  <w:r w:rsidR="00E667F7"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tham khảo </w:t>
                  </w:r>
                  <w:r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Bản công bố thông tin, Quy chế</w:t>
                  </w:r>
                  <w:r w:rsidR="00824D0C"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bán</w:t>
                  </w:r>
                  <w:r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đấu giá</w:t>
                  </w:r>
                  <w:r w:rsidR="00E667F7"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và </w:t>
                  </w:r>
                  <w:r w:rsidR="004F42F7"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tài liệu khác</w:t>
                  </w:r>
                  <w:r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trên web</w:t>
                  </w:r>
                  <w:r w:rsidR="0060468D"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site</w:t>
                  </w:r>
                  <w:r w:rsidRPr="00E41B9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774A8A" w:rsidRPr="00E41B9C">
                      <w:rPr>
                        <w:rStyle w:val="Hyperlink"/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www.hnx.vn</w:t>
                    </w:r>
                  </w:hyperlink>
                  <w:r w:rsidR="00774A8A" w:rsidRPr="00E41B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hyperlink r:id="rId10" w:history="1">
                    <w:r w:rsidRPr="00E41B9C">
                      <w:rPr>
                        <w:rStyle w:val="Hyperlink"/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www.scic.vn</w:t>
                    </w:r>
                  </w:hyperlink>
                  <w:r w:rsidR="001552C9" w:rsidRPr="00E41B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hyperlink r:id="rId11" w:history="1">
                    <w:r w:rsidR="001552C9" w:rsidRPr="00E41B9C">
                      <w:rPr>
                        <w:rStyle w:val="Hyperlink"/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www.aseansc.com.vn</w:t>
                    </w:r>
                  </w:hyperlink>
                  <w:r w:rsidR="001552C9" w:rsidRPr="00E41B9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và tại các đại lý đấu giá theo Quy chế bán đấu giá do Sở GDCK Hà Nội ban hành)</w:t>
                  </w:r>
                </w:p>
                <w:p w:rsidR="00FE558D" w:rsidRPr="004A1ECE" w:rsidRDefault="00FE558D" w:rsidP="006C6CA7">
                  <w:pPr>
                    <w:spacing w:after="0" w:line="360" w:lineRule="auto"/>
                    <w:ind w:left="5760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4A1ECE">
                    <w:rPr>
                      <w:rFonts w:ascii="Times New Roman" w:hAnsi="Times New Roman" w:cs="Times New Roman"/>
                      <w:i/>
                    </w:rPr>
                    <w:t xml:space="preserve">   </w:t>
                  </w:r>
                </w:p>
                <w:p w:rsidR="00FE558D" w:rsidRPr="004A1ECE" w:rsidRDefault="00FE558D" w:rsidP="00335AA0">
                  <w:pPr>
                    <w:spacing w:after="0" w:line="360" w:lineRule="auto"/>
                    <w:ind w:left="5040" w:firstLine="72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A1ECE">
                    <w:rPr>
                      <w:rFonts w:ascii="Times New Roman" w:hAnsi="Times New Roman" w:cs="Times New Roman"/>
                      <w:b/>
                    </w:rPr>
                    <w:t xml:space="preserve">      </w:t>
                  </w:r>
                </w:p>
              </w:txbxContent>
            </v:textbox>
          </v:rect>
        </w:pict>
      </w:r>
    </w:p>
    <w:sectPr w:rsidR="00B0491A" w:rsidSect="00335AA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008C0"/>
    <w:multiLevelType w:val="hybridMultilevel"/>
    <w:tmpl w:val="4A2AA082"/>
    <w:lvl w:ilvl="0" w:tplc="BC7EB5A0">
      <w:numFmt w:val="bullet"/>
      <w:lvlText w:val="-"/>
      <w:lvlJc w:val="left"/>
      <w:pPr>
        <w:ind w:left="75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>
    <w:nsid w:val="6C9F69B1"/>
    <w:multiLevelType w:val="hybridMultilevel"/>
    <w:tmpl w:val="3B661A70"/>
    <w:lvl w:ilvl="0" w:tplc="0409000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035D9"/>
    <w:rsid w:val="00030CA7"/>
    <w:rsid w:val="00040C67"/>
    <w:rsid w:val="00045423"/>
    <w:rsid w:val="00050342"/>
    <w:rsid w:val="000B499C"/>
    <w:rsid w:val="000F2826"/>
    <w:rsid w:val="001552C9"/>
    <w:rsid w:val="00174563"/>
    <w:rsid w:val="001A616B"/>
    <w:rsid w:val="00212B7F"/>
    <w:rsid w:val="00260CDA"/>
    <w:rsid w:val="002675E9"/>
    <w:rsid w:val="00272268"/>
    <w:rsid w:val="002B5225"/>
    <w:rsid w:val="00320178"/>
    <w:rsid w:val="00335AA0"/>
    <w:rsid w:val="003671F4"/>
    <w:rsid w:val="00382E29"/>
    <w:rsid w:val="003961D2"/>
    <w:rsid w:val="003F5B78"/>
    <w:rsid w:val="004153A3"/>
    <w:rsid w:val="00427840"/>
    <w:rsid w:val="004612EC"/>
    <w:rsid w:val="004769F8"/>
    <w:rsid w:val="004A1ECE"/>
    <w:rsid w:val="004B151A"/>
    <w:rsid w:val="004F42F7"/>
    <w:rsid w:val="0053433C"/>
    <w:rsid w:val="0053694D"/>
    <w:rsid w:val="00543BA2"/>
    <w:rsid w:val="00555B31"/>
    <w:rsid w:val="0057327C"/>
    <w:rsid w:val="00593739"/>
    <w:rsid w:val="005A78D6"/>
    <w:rsid w:val="005F2212"/>
    <w:rsid w:val="0060468D"/>
    <w:rsid w:val="0062084E"/>
    <w:rsid w:val="006708EC"/>
    <w:rsid w:val="0067325B"/>
    <w:rsid w:val="006C6CA7"/>
    <w:rsid w:val="006C7DCA"/>
    <w:rsid w:val="006C7F61"/>
    <w:rsid w:val="00701D84"/>
    <w:rsid w:val="007150E5"/>
    <w:rsid w:val="00774A8A"/>
    <w:rsid w:val="00774C5C"/>
    <w:rsid w:val="00782C14"/>
    <w:rsid w:val="00787A82"/>
    <w:rsid w:val="007B1FE2"/>
    <w:rsid w:val="007B2DDF"/>
    <w:rsid w:val="007E644F"/>
    <w:rsid w:val="008035D9"/>
    <w:rsid w:val="00803E10"/>
    <w:rsid w:val="00824D0C"/>
    <w:rsid w:val="00825DE9"/>
    <w:rsid w:val="008B00E0"/>
    <w:rsid w:val="008E5B89"/>
    <w:rsid w:val="008F733C"/>
    <w:rsid w:val="00912405"/>
    <w:rsid w:val="00913DDF"/>
    <w:rsid w:val="009726A5"/>
    <w:rsid w:val="00991213"/>
    <w:rsid w:val="009B7D69"/>
    <w:rsid w:val="009C533B"/>
    <w:rsid w:val="009C6229"/>
    <w:rsid w:val="009D36D9"/>
    <w:rsid w:val="009D4B6F"/>
    <w:rsid w:val="00A017F9"/>
    <w:rsid w:val="00A274A3"/>
    <w:rsid w:val="00A3548B"/>
    <w:rsid w:val="00A80C5C"/>
    <w:rsid w:val="00AF1A94"/>
    <w:rsid w:val="00AF53D0"/>
    <w:rsid w:val="00B02B09"/>
    <w:rsid w:val="00B0491A"/>
    <w:rsid w:val="00B2545F"/>
    <w:rsid w:val="00BE2969"/>
    <w:rsid w:val="00BE507D"/>
    <w:rsid w:val="00C173CB"/>
    <w:rsid w:val="00C23F92"/>
    <w:rsid w:val="00C269AD"/>
    <w:rsid w:val="00C86F40"/>
    <w:rsid w:val="00C875FE"/>
    <w:rsid w:val="00C90EAB"/>
    <w:rsid w:val="00C96D63"/>
    <w:rsid w:val="00CA0354"/>
    <w:rsid w:val="00D33AD9"/>
    <w:rsid w:val="00E12419"/>
    <w:rsid w:val="00E41B9C"/>
    <w:rsid w:val="00E44854"/>
    <w:rsid w:val="00E505AA"/>
    <w:rsid w:val="00E5323A"/>
    <w:rsid w:val="00E627E4"/>
    <w:rsid w:val="00E667F7"/>
    <w:rsid w:val="00E72966"/>
    <w:rsid w:val="00E7602A"/>
    <w:rsid w:val="00EC1612"/>
    <w:rsid w:val="00F10E5E"/>
    <w:rsid w:val="00F13A73"/>
    <w:rsid w:val="00F36918"/>
    <w:rsid w:val="00F43761"/>
    <w:rsid w:val="00F6085A"/>
    <w:rsid w:val="00FA2FC3"/>
    <w:rsid w:val="00FB1221"/>
    <w:rsid w:val="00FD7B13"/>
    <w:rsid w:val="00FE18FD"/>
    <w:rsid w:val="00FE5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35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035D9"/>
    <w:pPr>
      <w:ind w:left="720"/>
      <w:contextualSpacing/>
    </w:pPr>
  </w:style>
  <w:style w:type="table" w:styleId="TableGrid">
    <w:name w:val="Table Grid"/>
    <w:basedOn w:val="TableNormal"/>
    <w:uiPriority w:val="59"/>
    <w:rsid w:val="00787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A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2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aseansc.com.v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cic.v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nx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118F-5363-424D-8821-2AFBC878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hieu.tv</dc:creator>
  <cp:keywords/>
  <dc:description/>
  <cp:lastModifiedBy>minhhue.tt</cp:lastModifiedBy>
  <cp:revision>66</cp:revision>
  <dcterms:created xsi:type="dcterms:W3CDTF">2017-03-21T08:56:00Z</dcterms:created>
  <dcterms:modified xsi:type="dcterms:W3CDTF">2017-03-24T06:48:00Z</dcterms:modified>
</cp:coreProperties>
</file>